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53C0F">
      <w:pPr>
        <w:spacing w:line="579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 w14:paraId="00B151E8">
      <w:pPr>
        <w:spacing w:line="579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评分标准</w:t>
      </w:r>
    </w:p>
    <w:bookmarkEnd w:id="0"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554"/>
        <w:gridCol w:w="1065"/>
        <w:gridCol w:w="3758"/>
        <w:gridCol w:w="1424"/>
      </w:tblGrid>
      <w:tr w14:paraId="07C66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shd w:val="clear" w:color="auto" w:fill="auto"/>
            <w:noWrap w:val="0"/>
            <w:vAlign w:val="center"/>
          </w:tcPr>
          <w:p w14:paraId="6F9485C0"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1658" w:type="dxa"/>
            <w:shd w:val="clear" w:color="auto" w:fill="auto"/>
            <w:noWrap w:val="0"/>
            <w:vAlign w:val="center"/>
          </w:tcPr>
          <w:p w14:paraId="5C43594B">
            <w:pPr>
              <w:tabs>
                <w:tab w:val="left" w:pos="250"/>
              </w:tabs>
              <w:spacing w:line="579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评分因素及权重</w:t>
            </w:r>
          </w:p>
        </w:tc>
        <w:tc>
          <w:tcPr>
            <w:tcW w:w="1130" w:type="dxa"/>
            <w:shd w:val="clear" w:color="auto" w:fill="auto"/>
            <w:noWrap w:val="0"/>
            <w:vAlign w:val="center"/>
          </w:tcPr>
          <w:p w14:paraId="584BC656"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分值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5BEB7E5F"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</w:rPr>
              <w:t>评分标准</w:t>
            </w:r>
          </w:p>
        </w:tc>
        <w:tc>
          <w:tcPr>
            <w:tcW w:w="1501" w:type="dxa"/>
            <w:shd w:val="clear" w:color="auto" w:fill="auto"/>
            <w:noWrap w:val="0"/>
            <w:vAlign w:val="center"/>
          </w:tcPr>
          <w:p w14:paraId="3CD4F34C"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说明</w:t>
            </w:r>
          </w:p>
        </w:tc>
      </w:tr>
      <w:tr w14:paraId="076D0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shd w:val="clear" w:color="auto" w:fill="auto"/>
            <w:noWrap w:val="0"/>
            <w:vAlign w:val="center"/>
          </w:tcPr>
          <w:p w14:paraId="223893D5">
            <w:pPr>
              <w:spacing w:line="579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658" w:type="dxa"/>
            <w:shd w:val="clear" w:color="auto" w:fill="auto"/>
            <w:noWrap w:val="0"/>
            <w:vAlign w:val="center"/>
          </w:tcPr>
          <w:p w14:paraId="5D694A1B">
            <w:pPr>
              <w:spacing w:line="579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报价1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  <w:r>
              <w:rPr>
                <w:rFonts w:ascii="仿宋_GB2312" w:hAnsi="仿宋_GB2312" w:eastAsia="仿宋_GB2312" w:cs="仿宋_GB2312"/>
                <w:sz w:val="24"/>
              </w:rPr>
              <w:t>%</w:t>
            </w:r>
          </w:p>
        </w:tc>
        <w:tc>
          <w:tcPr>
            <w:tcW w:w="1130" w:type="dxa"/>
            <w:shd w:val="clear" w:color="auto" w:fill="auto"/>
            <w:noWrap w:val="0"/>
            <w:vAlign w:val="center"/>
          </w:tcPr>
          <w:p w14:paraId="0154B75F">
            <w:pPr>
              <w:spacing w:line="579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15分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3825913B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以满足采购文件要求且报价最低的供应商报价为基准价，其价格分为满分15分。其他供应商的价格分统一按照下列公式计算：报价得分 = (基准价/供应商最终报价)×15。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（计算结果保留小数点后两位）</w:t>
            </w:r>
          </w:p>
        </w:tc>
        <w:tc>
          <w:tcPr>
            <w:tcW w:w="1501" w:type="dxa"/>
            <w:shd w:val="clear" w:color="auto" w:fill="auto"/>
            <w:noWrap w:val="0"/>
            <w:vAlign w:val="center"/>
          </w:tcPr>
          <w:p w14:paraId="460AE61C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报价超过最高限价3.5万元的，响应文件无效</w:t>
            </w:r>
          </w:p>
        </w:tc>
      </w:tr>
      <w:tr w14:paraId="0BC7A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shd w:val="clear" w:color="auto" w:fill="auto"/>
            <w:noWrap w:val="0"/>
            <w:vAlign w:val="center"/>
          </w:tcPr>
          <w:p w14:paraId="2193BC8A">
            <w:pPr>
              <w:spacing w:line="579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1658" w:type="dxa"/>
            <w:shd w:val="clear" w:color="auto" w:fill="auto"/>
            <w:noWrap w:val="0"/>
            <w:vAlign w:val="center"/>
          </w:tcPr>
          <w:p w14:paraId="38FB56D5">
            <w:pPr>
              <w:spacing w:line="579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技术方案及能力50%</w:t>
            </w:r>
          </w:p>
        </w:tc>
        <w:tc>
          <w:tcPr>
            <w:tcW w:w="1130" w:type="dxa"/>
            <w:shd w:val="clear" w:color="auto" w:fill="auto"/>
            <w:noWrap w:val="0"/>
            <w:vAlign w:val="center"/>
          </w:tcPr>
          <w:p w14:paraId="0A4CE67E">
            <w:pPr>
              <w:spacing w:line="579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50分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125BB02C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1.设计团队配置（10分）：项目负责人具备高级职称得5分，中级职称得3分；配备建筑、结构、电气、给排水等专业设计人员齐全得5分，每缺一专业扣1分。</w:t>
            </w:r>
          </w:p>
          <w:p w14:paraId="27613D00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2.类似项目业绩（15分）：提供近三年类似办公用房或公共建筑装饰装修设计项目业绩，每提供1份有效合同得3分，最高得15分。</w:t>
            </w:r>
          </w:p>
          <w:p w14:paraId="4B78E4A8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3.设计思路与方案（15分）：根据供应商提供的设计思路及概念性方案，从理念创新性、功能布局合理性、风格契合度等方面综合评分。</w:t>
            </w:r>
          </w:p>
          <w:p w14:paraId="77B4CA7A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4.质量保障措施（10分）：根据供应商提供的设计质量控制流程（方案评审、图纸校审、设计交底等）的完善性和可操作性综合评分。</w:t>
            </w:r>
          </w:p>
        </w:tc>
        <w:tc>
          <w:tcPr>
            <w:tcW w:w="1501" w:type="dxa"/>
            <w:shd w:val="clear" w:color="auto" w:fill="auto"/>
            <w:noWrap w:val="0"/>
            <w:vAlign w:val="center"/>
          </w:tcPr>
          <w:p w14:paraId="0CC4C8FB">
            <w:pPr>
              <w:spacing w:line="579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由评审小组根据方案内容的完整性、针对性、可行性独立打分，取平均分。</w:t>
            </w:r>
          </w:p>
        </w:tc>
      </w:tr>
      <w:tr w14:paraId="71800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shd w:val="clear" w:color="auto" w:fill="auto"/>
            <w:noWrap w:val="0"/>
            <w:vAlign w:val="center"/>
          </w:tcPr>
          <w:p w14:paraId="57B493B5">
            <w:pPr>
              <w:spacing w:line="579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1658" w:type="dxa"/>
            <w:shd w:val="clear" w:color="auto" w:fill="auto"/>
            <w:noWrap w:val="0"/>
            <w:vAlign w:val="center"/>
          </w:tcPr>
          <w:p w14:paraId="2207C97D">
            <w:pPr>
              <w:spacing w:line="579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服务30%</w:t>
            </w:r>
          </w:p>
        </w:tc>
        <w:tc>
          <w:tcPr>
            <w:tcW w:w="1130" w:type="dxa"/>
            <w:shd w:val="clear" w:color="auto" w:fill="auto"/>
            <w:noWrap w:val="0"/>
            <w:vAlign w:val="center"/>
          </w:tcPr>
          <w:p w14:paraId="26175289">
            <w:pPr>
              <w:spacing w:line="579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30分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39A8761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1.设计周期承诺（10分）：方案设计周期承诺≤10个工作日得10分，≤12个工作日得6分，≤15个工作日得4分。</w:t>
            </w:r>
          </w:p>
          <w:p w14:paraId="7F94CC71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2.服务响应时效承诺（8分）：根据供应商承诺的书面答复时限、现场到场时限、变更图纸提交时限等综合评分。</w:t>
            </w:r>
          </w:p>
          <w:p w14:paraId="3C1450B1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3.履约保障与风险控制（6分）：针对周期延误、设计缺陷、响应不及时等风险，提供具体可行的保障措施。</w:t>
            </w:r>
          </w:p>
          <w:p w14:paraId="4C18F641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4.免费服务（6分）：承诺免费提供设计交底、配合图纸审查、常规设计变更服务等得6分。</w:t>
            </w:r>
          </w:p>
        </w:tc>
        <w:tc>
          <w:tcPr>
            <w:tcW w:w="1501" w:type="dxa"/>
            <w:shd w:val="clear" w:color="auto" w:fill="auto"/>
            <w:noWrap w:val="0"/>
            <w:vAlign w:val="center"/>
          </w:tcPr>
          <w:p w14:paraId="65038B11">
            <w:pPr>
              <w:spacing w:line="579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DB4E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shd w:val="clear" w:color="auto" w:fill="auto"/>
            <w:noWrap w:val="0"/>
            <w:vAlign w:val="center"/>
          </w:tcPr>
          <w:p w14:paraId="19B87201">
            <w:pPr>
              <w:spacing w:line="579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1658" w:type="dxa"/>
            <w:shd w:val="clear" w:color="auto" w:fill="auto"/>
            <w:noWrap w:val="0"/>
            <w:vAlign w:val="center"/>
          </w:tcPr>
          <w:p w14:paraId="6959A0D6">
            <w:pPr>
              <w:spacing w:line="579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投标材料规范性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  <w:r>
              <w:rPr>
                <w:rFonts w:ascii="仿宋_GB2312" w:hAnsi="仿宋_GB2312" w:eastAsia="仿宋_GB2312" w:cs="仿宋_GB2312"/>
                <w:sz w:val="24"/>
              </w:rPr>
              <w:t>%</w:t>
            </w:r>
          </w:p>
        </w:tc>
        <w:tc>
          <w:tcPr>
            <w:tcW w:w="1130" w:type="dxa"/>
            <w:shd w:val="clear" w:color="auto" w:fill="auto"/>
            <w:noWrap w:val="0"/>
            <w:vAlign w:val="center"/>
          </w:tcPr>
          <w:p w14:paraId="231EB76D">
            <w:pPr>
              <w:spacing w:line="579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5分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5360B354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1.材料完整性（3分）：响应文件内容齐全，按公告要求逐项提供所需材料，无缺项漏项得3分；每缺少一项扣0.5分，扣完为止。</w:t>
            </w:r>
          </w:p>
          <w:p w14:paraId="551C15DA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2.材料规范性（2分）：响应文件装订整齐、目录清晰、页码连贯、签字盖章齐全、密封符合要求得2分；存在格式混乱、装订松散、盖章不全等情形，酌情扣0.5-1.5分。</w:t>
            </w:r>
          </w:p>
        </w:tc>
        <w:tc>
          <w:tcPr>
            <w:tcW w:w="1501" w:type="dxa"/>
            <w:shd w:val="clear" w:color="auto" w:fill="auto"/>
            <w:noWrap w:val="0"/>
            <w:vAlign w:val="center"/>
          </w:tcPr>
          <w:p w14:paraId="717410BC">
            <w:pPr>
              <w:spacing w:line="579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1125B9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Microsoft YaHei UI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304D78"/>
    <w:rsid w:val="1930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2026-04-02T05:50:00Z</dcterms:created>
  <dc:creator>左手藏着扑克牌</dc:creator>
  <cp:lastModifiedBy>左手藏着扑克牌</cp:lastModifiedBy>
  <dcterms:modified xsi:type="dcterms:W3CDTF">2026-04-02T05:53:10Z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F6FA53C69D024960B30BE97695F54F57_11</vt:lpwstr>
  </property>
  <property fmtid="{D5CDD505-2E9C-101B-9397-08002B2CF9AE}" pid="4" name="KSOTemplateDocerSaveRecord">
    <vt:lpwstr>eyJoZGlkIjoiYmRjNjVmM2Q3ZmJlYmM5MDY3MjU1Y2NkYWZmZDYyMGEiLCJ1c2VySWQiOiI2NzgyNDc3NzYifQ==</vt:lpwstr>
  </property>
</Properties>
</file>