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F9EA7">
      <w:pPr>
        <w:spacing w:line="700" w:lineRule="exac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附件4</w:t>
      </w:r>
    </w:p>
    <w:p w14:paraId="06BF056C">
      <w:pPr>
        <w:spacing w:line="700" w:lineRule="exact"/>
        <w:jc w:val="center"/>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量化评分标准</w:t>
      </w:r>
    </w:p>
    <w:bookmarkEnd w:id="0"/>
    <w:p w14:paraId="2F526FCF">
      <w:pPr>
        <w:spacing w:line="700" w:lineRule="exact"/>
        <w:jc w:val="center"/>
        <w:rPr>
          <w:rFonts w:ascii="仿宋_GB2312" w:hAnsi="仿宋_GB2312" w:eastAsia="仿宋_GB2312" w:cs="仿宋_GB2312"/>
          <w:bCs/>
          <w:sz w:val="32"/>
          <w:szCs w:val="32"/>
        </w:rPr>
      </w:pPr>
    </w:p>
    <w:tbl>
      <w:tblPr>
        <w:tblStyle w:val="2"/>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080"/>
        <w:gridCol w:w="882"/>
        <w:gridCol w:w="1977"/>
        <w:gridCol w:w="3671"/>
      </w:tblGrid>
      <w:tr w14:paraId="757B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Align w:val="center"/>
          </w:tcPr>
          <w:p w14:paraId="2B17114A">
            <w:pPr>
              <w:tabs>
                <w:tab w:val="left" w:pos="210"/>
              </w:tabs>
              <w:spacing w:line="240" w:lineRule="atLeast"/>
              <w:jc w:val="center"/>
              <w:rPr>
                <w:rFonts w:ascii="黑体" w:hAnsi="黑体" w:eastAsia="黑体" w:cs="仿宋_GB2312"/>
                <w:sz w:val="28"/>
                <w:szCs w:val="28"/>
              </w:rPr>
            </w:pPr>
            <w:r>
              <w:rPr>
                <w:rFonts w:hint="eastAsia" w:ascii="黑体" w:hAnsi="黑体" w:eastAsia="黑体" w:cs="仿宋_GB2312"/>
                <w:sz w:val="28"/>
                <w:szCs w:val="28"/>
              </w:rPr>
              <w:t>序号</w:t>
            </w:r>
          </w:p>
        </w:tc>
        <w:tc>
          <w:tcPr>
            <w:tcW w:w="1080" w:type="dxa"/>
            <w:vAlign w:val="center"/>
          </w:tcPr>
          <w:p w14:paraId="6846F63E">
            <w:pPr>
              <w:tabs>
                <w:tab w:val="left" w:pos="210"/>
              </w:tabs>
              <w:spacing w:line="240" w:lineRule="atLeast"/>
              <w:jc w:val="center"/>
              <w:rPr>
                <w:rFonts w:ascii="黑体" w:hAnsi="黑体" w:eastAsia="黑体" w:cs="仿宋_GB2312"/>
                <w:sz w:val="28"/>
                <w:szCs w:val="28"/>
              </w:rPr>
            </w:pPr>
            <w:r>
              <w:rPr>
                <w:rFonts w:hint="eastAsia" w:ascii="黑体" w:hAnsi="黑体" w:eastAsia="黑体" w:cs="仿宋_GB2312"/>
                <w:sz w:val="28"/>
                <w:szCs w:val="28"/>
              </w:rPr>
              <w:t>评审</w:t>
            </w:r>
          </w:p>
          <w:p w14:paraId="1059A938">
            <w:pPr>
              <w:tabs>
                <w:tab w:val="left" w:pos="210"/>
              </w:tabs>
              <w:spacing w:line="240" w:lineRule="atLeast"/>
              <w:jc w:val="center"/>
              <w:rPr>
                <w:rFonts w:ascii="黑体" w:hAnsi="黑体" w:eastAsia="黑体" w:cs="仿宋_GB2312"/>
                <w:sz w:val="28"/>
                <w:szCs w:val="28"/>
              </w:rPr>
            </w:pPr>
            <w:r>
              <w:rPr>
                <w:rFonts w:hint="eastAsia" w:ascii="黑体" w:hAnsi="黑体" w:eastAsia="黑体" w:cs="仿宋_GB2312"/>
                <w:sz w:val="28"/>
                <w:szCs w:val="28"/>
              </w:rPr>
              <w:t>项目</w:t>
            </w:r>
          </w:p>
        </w:tc>
        <w:tc>
          <w:tcPr>
            <w:tcW w:w="882" w:type="dxa"/>
            <w:vAlign w:val="center"/>
          </w:tcPr>
          <w:p w14:paraId="7EECBE5C">
            <w:pPr>
              <w:tabs>
                <w:tab w:val="left" w:pos="210"/>
              </w:tabs>
              <w:spacing w:line="240" w:lineRule="atLeast"/>
              <w:jc w:val="center"/>
              <w:rPr>
                <w:rFonts w:ascii="黑体" w:hAnsi="黑体" w:eastAsia="黑体" w:cs="仿宋_GB2312"/>
                <w:sz w:val="28"/>
                <w:szCs w:val="28"/>
              </w:rPr>
            </w:pPr>
            <w:r>
              <w:rPr>
                <w:rFonts w:hint="eastAsia" w:ascii="黑体" w:hAnsi="黑体" w:eastAsia="黑体" w:cs="仿宋_GB2312"/>
                <w:sz w:val="28"/>
                <w:szCs w:val="28"/>
              </w:rPr>
              <w:t>满分分值</w:t>
            </w:r>
          </w:p>
        </w:tc>
        <w:tc>
          <w:tcPr>
            <w:tcW w:w="1977" w:type="dxa"/>
            <w:vAlign w:val="center"/>
          </w:tcPr>
          <w:p w14:paraId="0D550C89">
            <w:pPr>
              <w:tabs>
                <w:tab w:val="left" w:pos="210"/>
              </w:tabs>
              <w:spacing w:line="240" w:lineRule="atLeast"/>
              <w:jc w:val="center"/>
              <w:rPr>
                <w:rFonts w:ascii="黑体" w:hAnsi="黑体" w:eastAsia="黑体" w:cs="仿宋_GB2312"/>
                <w:sz w:val="28"/>
                <w:szCs w:val="28"/>
              </w:rPr>
            </w:pPr>
            <w:r>
              <w:rPr>
                <w:rFonts w:hint="eastAsia" w:ascii="黑体" w:hAnsi="黑体" w:eastAsia="黑体" w:cs="仿宋_GB2312"/>
                <w:sz w:val="28"/>
                <w:szCs w:val="28"/>
              </w:rPr>
              <w:t>评分标准</w:t>
            </w:r>
          </w:p>
        </w:tc>
        <w:tc>
          <w:tcPr>
            <w:tcW w:w="3671" w:type="dxa"/>
            <w:vAlign w:val="center"/>
          </w:tcPr>
          <w:p w14:paraId="087C0422">
            <w:pPr>
              <w:tabs>
                <w:tab w:val="left" w:pos="210"/>
              </w:tabs>
              <w:spacing w:line="240" w:lineRule="atLeast"/>
              <w:jc w:val="center"/>
              <w:rPr>
                <w:rFonts w:ascii="黑体" w:hAnsi="黑体" w:eastAsia="黑体" w:cs="仿宋_GB2312"/>
                <w:sz w:val="28"/>
                <w:szCs w:val="28"/>
              </w:rPr>
            </w:pPr>
            <w:r>
              <w:rPr>
                <w:rFonts w:hint="eastAsia" w:ascii="黑体" w:hAnsi="黑体" w:eastAsia="黑体" w:cs="仿宋_GB2312"/>
                <w:sz w:val="28"/>
                <w:szCs w:val="28"/>
              </w:rPr>
              <w:t>说明</w:t>
            </w:r>
          </w:p>
        </w:tc>
      </w:tr>
      <w:tr w14:paraId="05AF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9" w:type="dxa"/>
            <w:vAlign w:val="center"/>
          </w:tcPr>
          <w:p w14:paraId="4CF84766">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1080" w:type="dxa"/>
            <w:vAlign w:val="center"/>
          </w:tcPr>
          <w:p w14:paraId="3B3DBA7B">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报价</w:t>
            </w:r>
          </w:p>
        </w:tc>
        <w:tc>
          <w:tcPr>
            <w:tcW w:w="882" w:type="dxa"/>
            <w:vAlign w:val="center"/>
          </w:tcPr>
          <w:p w14:paraId="742276A4">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30</w:t>
            </w:r>
          </w:p>
        </w:tc>
        <w:tc>
          <w:tcPr>
            <w:tcW w:w="1977" w:type="dxa"/>
            <w:vAlign w:val="center"/>
          </w:tcPr>
          <w:p w14:paraId="3C590025">
            <w:pPr>
              <w:tabs>
                <w:tab w:val="left" w:pos="210"/>
              </w:tabs>
              <w:spacing w:line="240" w:lineRule="atLeast"/>
              <w:rPr>
                <w:rFonts w:ascii="仿宋_GB2312" w:hAnsi="仿宋_GB2312" w:eastAsia="仿宋_GB2312" w:cs="仿宋_GB2312"/>
                <w:b/>
                <w:sz w:val="32"/>
                <w:szCs w:val="32"/>
              </w:rPr>
            </w:pPr>
            <w:r>
              <w:rPr>
                <w:rFonts w:hint="eastAsia" w:ascii="仿宋_GB2312" w:hAnsi="仿宋_GB2312" w:eastAsia="仿宋_GB2312" w:cs="仿宋_GB2312"/>
                <w:bCs/>
                <w:sz w:val="24"/>
              </w:rPr>
              <w:t>基准价确定：以所有有效投标人的报价平均值作为基准价，基准价（30分）。</w:t>
            </w:r>
          </w:p>
        </w:tc>
        <w:tc>
          <w:tcPr>
            <w:tcW w:w="3671" w:type="dxa"/>
            <w:vAlign w:val="center"/>
          </w:tcPr>
          <w:p w14:paraId="6E89F49F">
            <w:pPr>
              <w:tabs>
                <w:tab w:val="left" w:pos="210"/>
              </w:tabs>
              <w:spacing w:line="240" w:lineRule="atLeast"/>
              <w:jc w:val="left"/>
              <w:rPr>
                <w:rFonts w:ascii="仿宋_GB2312" w:hAnsi="仿宋_GB2312" w:eastAsia="仿宋_GB2312" w:cs="仿宋_GB2312"/>
                <w:b/>
                <w:sz w:val="32"/>
                <w:szCs w:val="32"/>
              </w:rPr>
            </w:pPr>
            <w:r>
              <w:rPr>
                <w:rFonts w:hint="eastAsia" w:ascii="仿宋_GB2312" w:hAnsi="仿宋_GB2312" w:eastAsia="仿宋_GB2312" w:cs="仿宋_GB2312"/>
                <w:bCs/>
                <w:sz w:val="24"/>
              </w:rPr>
              <w:t>1.投标人报价与基准价相比，每高1%扣1分，最低扣至得15分；2.报价超出采购预算上限的，视为无效投标</w:t>
            </w:r>
            <w:r>
              <w:rPr>
                <w:rFonts w:hint="eastAsia" w:ascii="仿宋_GB2312" w:hAnsi="仿宋_GB2312" w:eastAsia="仿宋_GB2312" w:cs="仿宋_GB2312"/>
                <w:bCs/>
                <w:sz w:val="24"/>
                <w:lang w:eastAsia="zh-CN"/>
              </w:rPr>
              <w:t>，得</w:t>
            </w:r>
            <w:r>
              <w:rPr>
                <w:rFonts w:hint="eastAsia" w:ascii="仿宋_GB2312" w:hAnsi="仿宋_GB2312" w:eastAsia="仿宋_GB2312" w:cs="仿宋_GB2312"/>
                <w:bCs/>
                <w:sz w:val="24"/>
                <w:lang w:val="en-US" w:eastAsia="zh-CN"/>
              </w:rPr>
              <w:t>0分</w:t>
            </w:r>
            <w:r>
              <w:rPr>
                <w:rFonts w:hint="eastAsia" w:ascii="仿宋_GB2312" w:hAnsi="仿宋_GB2312" w:eastAsia="仿宋_GB2312" w:cs="仿宋_GB2312"/>
                <w:bCs/>
                <w:sz w:val="24"/>
              </w:rPr>
              <w:t>。</w:t>
            </w:r>
          </w:p>
        </w:tc>
      </w:tr>
      <w:tr w14:paraId="3F1B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969" w:type="dxa"/>
            <w:vAlign w:val="center"/>
          </w:tcPr>
          <w:p w14:paraId="1F71570E">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1080" w:type="dxa"/>
            <w:vAlign w:val="center"/>
          </w:tcPr>
          <w:p w14:paraId="79F9558C">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审计团队资质</w:t>
            </w:r>
          </w:p>
        </w:tc>
        <w:tc>
          <w:tcPr>
            <w:tcW w:w="882" w:type="dxa"/>
            <w:vAlign w:val="center"/>
          </w:tcPr>
          <w:p w14:paraId="3911D3B7">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20</w:t>
            </w:r>
          </w:p>
        </w:tc>
        <w:tc>
          <w:tcPr>
            <w:tcW w:w="1977" w:type="dxa"/>
            <w:vAlign w:val="center"/>
          </w:tcPr>
          <w:p w14:paraId="571DF6E8">
            <w:pPr>
              <w:tabs>
                <w:tab w:val="left" w:pos="210"/>
              </w:tabs>
              <w:spacing w:line="240" w:lineRule="atLeast"/>
              <w:rPr>
                <w:rFonts w:ascii="仿宋_GB2312" w:hAnsi="仿宋_GB2312" w:eastAsia="仿宋_GB2312" w:cs="仿宋_GB2312"/>
                <w:bCs/>
                <w:sz w:val="24"/>
              </w:rPr>
            </w:pPr>
            <w:r>
              <w:rPr>
                <w:rFonts w:hint="eastAsia" w:ascii="仿宋_GB2312" w:hAnsi="仿宋_GB2312" w:eastAsia="仿宋_GB2312" w:cs="仿宋_GB2312"/>
                <w:bCs/>
                <w:sz w:val="24"/>
              </w:rPr>
              <w:t>人员资质（20分）。</w:t>
            </w:r>
          </w:p>
          <w:p w14:paraId="7A688B4A">
            <w:pPr>
              <w:tabs>
                <w:tab w:val="left" w:pos="210"/>
              </w:tabs>
              <w:spacing w:line="500" w:lineRule="exact"/>
              <w:rPr>
                <w:rFonts w:ascii="仿宋_GB2312" w:hAnsi="仿宋_GB2312" w:eastAsia="仿宋_GB2312" w:cs="仿宋_GB2312"/>
                <w:bCs/>
                <w:sz w:val="24"/>
              </w:rPr>
            </w:pPr>
          </w:p>
        </w:tc>
        <w:tc>
          <w:tcPr>
            <w:tcW w:w="3671" w:type="dxa"/>
            <w:vAlign w:val="center"/>
          </w:tcPr>
          <w:p w14:paraId="2A000949">
            <w:pPr>
              <w:tabs>
                <w:tab w:val="left" w:pos="210"/>
              </w:tabs>
              <w:spacing w:line="240" w:lineRule="atLeas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项目负责人持有有效注册会计师证书或国际注册内部审计师（CIA）证书，且具有5年以上采购审计相关从业经验的，得12分；任一项不满足的，扣6分。注：执业年限以资格证书签发时间起算，须提供证书扫描件及投标人为其缴纳的社保证明材料（开标前半年任意一个月）。</w:t>
            </w:r>
          </w:p>
          <w:p w14:paraId="332810F0">
            <w:pPr>
              <w:tabs>
                <w:tab w:val="left" w:pos="210"/>
              </w:tabs>
              <w:spacing w:line="240" w:lineRule="atLeast"/>
              <w:jc w:val="left"/>
              <w:rPr>
                <w:rFonts w:ascii="仿宋_GB2312" w:hAnsi="仿宋_GB2312" w:eastAsia="仿宋_GB2312" w:cs="仿宋_GB2312"/>
                <w:bCs/>
                <w:sz w:val="24"/>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val="en-US" w:eastAsia="zh-CN"/>
              </w:rPr>
              <w:t>.</w:t>
            </w:r>
            <w:r>
              <w:rPr>
                <w:rFonts w:hint="eastAsia" w:ascii="仿宋_GB2312" w:hAnsi="仿宋_GB2312" w:eastAsia="仿宋_GB2312" w:cs="仿宋_GB2312"/>
                <w:bCs/>
                <w:sz w:val="24"/>
              </w:rPr>
              <w:t>本项目团队总人数（不含项目负责人）最低配置不少于</w:t>
            </w:r>
            <w:r>
              <w:rPr>
                <w:rFonts w:hint="eastAsia" w:ascii="仿宋_GB2312" w:hAnsi="仿宋_GB2312" w:eastAsia="仿宋_GB2312" w:cs="仿宋_GB2312"/>
                <w:bCs/>
                <w:sz w:val="24"/>
                <w:lang w:eastAsia="zh-CN"/>
              </w:rPr>
              <w:t>3</w:t>
            </w:r>
            <w:r>
              <w:rPr>
                <w:rFonts w:hint="eastAsia" w:ascii="仿宋_GB2312" w:hAnsi="仿宋_GB2312" w:eastAsia="仿宋_GB2312" w:cs="仿宋_GB2312"/>
                <w:bCs/>
                <w:sz w:val="24"/>
              </w:rPr>
              <w:t>人.项目团队成员（不含项目负责人）中持有中级会计师、审计师及以上职称（含注册会计师）的人员占比：≥80%得8分，60%—80%（含60%）得5分，40%—60%（含40%）得2分，低于40%不得分。注：同一人持有多个证书不重复计分；中级及以上职称含人力资源和社会保障部门核发的相应专业技术职称证书，以及注册会计师证书（视同中级）；须提供证书扫描件及投标人为相关人员缴纳的社保证明材料。</w:t>
            </w:r>
          </w:p>
        </w:tc>
      </w:tr>
      <w:tr w14:paraId="1A79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jc w:val="center"/>
        </w:trPr>
        <w:tc>
          <w:tcPr>
            <w:tcW w:w="969" w:type="dxa"/>
            <w:vAlign w:val="center"/>
          </w:tcPr>
          <w:p w14:paraId="4FA43B7A">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3</w:t>
            </w:r>
          </w:p>
        </w:tc>
        <w:tc>
          <w:tcPr>
            <w:tcW w:w="1080" w:type="dxa"/>
            <w:vAlign w:val="center"/>
          </w:tcPr>
          <w:p w14:paraId="6784187B">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审计</w:t>
            </w:r>
          </w:p>
          <w:p w14:paraId="4FDA7F0B">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方案</w:t>
            </w:r>
          </w:p>
        </w:tc>
        <w:tc>
          <w:tcPr>
            <w:tcW w:w="882" w:type="dxa"/>
            <w:vAlign w:val="center"/>
          </w:tcPr>
          <w:p w14:paraId="6BB58472">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30</w:t>
            </w:r>
          </w:p>
        </w:tc>
        <w:tc>
          <w:tcPr>
            <w:tcW w:w="1977" w:type="dxa"/>
            <w:vAlign w:val="center"/>
          </w:tcPr>
          <w:p w14:paraId="0D755679">
            <w:pPr>
              <w:tabs>
                <w:tab w:val="left" w:pos="210"/>
              </w:tabs>
              <w:spacing w:line="240" w:lineRule="atLeast"/>
              <w:rPr>
                <w:rFonts w:ascii="仿宋_GB2312" w:hAnsi="仿宋_GB2312" w:eastAsia="仿宋_GB2312" w:cs="仿宋_GB2312"/>
                <w:bCs/>
                <w:sz w:val="24"/>
              </w:rPr>
            </w:pPr>
            <w:r>
              <w:rPr>
                <w:rFonts w:hint="eastAsia" w:ascii="仿宋_GB2312" w:hAnsi="仿宋_GB2312" w:eastAsia="仿宋_GB2312" w:cs="仿宋_GB2312"/>
                <w:bCs/>
                <w:sz w:val="24"/>
              </w:rPr>
              <w:t>1. 方案框架完整性（10分）。</w:t>
            </w:r>
          </w:p>
          <w:p w14:paraId="0B91CFFB">
            <w:pPr>
              <w:tabs>
                <w:tab w:val="left" w:pos="210"/>
              </w:tabs>
              <w:spacing w:line="240" w:lineRule="atLeast"/>
              <w:rPr>
                <w:rFonts w:ascii="仿宋_GB2312" w:hAnsi="仿宋_GB2312" w:eastAsia="仿宋_GB2312" w:cs="仿宋_GB2312"/>
                <w:bCs/>
                <w:sz w:val="24"/>
              </w:rPr>
            </w:pPr>
            <w:r>
              <w:rPr>
                <w:rFonts w:hint="eastAsia" w:ascii="仿宋_GB2312" w:hAnsi="仿宋_GB2312" w:eastAsia="仿宋_GB2312" w:cs="仿宋_GB2312"/>
                <w:bCs/>
                <w:sz w:val="24"/>
              </w:rPr>
              <w:t>2. 方案实施适配性（10分）。</w:t>
            </w:r>
          </w:p>
          <w:p w14:paraId="6342BC83">
            <w:pPr>
              <w:tabs>
                <w:tab w:val="left" w:pos="210"/>
              </w:tabs>
              <w:spacing w:line="240" w:lineRule="atLeast"/>
              <w:rPr>
                <w:rFonts w:ascii="仿宋_GB2312" w:hAnsi="仿宋_GB2312" w:eastAsia="仿宋_GB2312" w:cs="仿宋_GB2312"/>
                <w:bCs/>
                <w:sz w:val="24"/>
              </w:rPr>
            </w:pPr>
            <w:r>
              <w:rPr>
                <w:rFonts w:hint="eastAsia" w:ascii="仿宋_GB2312" w:hAnsi="仿宋_GB2312" w:eastAsia="仿宋_GB2312" w:cs="仿宋_GB2312"/>
                <w:bCs/>
                <w:sz w:val="24"/>
              </w:rPr>
              <w:t>3. 应急预案（10分）。</w:t>
            </w:r>
          </w:p>
        </w:tc>
        <w:tc>
          <w:tcPr>
            <w:tcW w:w="3671" w:type="dxa"/>
            <w:vAlign w:val="center"/>
          </w:tcPr>
          <w:p w14:paraId="7943D07A">
            <w:pPr>
              <w:tabs>
                <w:tab w:val="left" w:pos="210"/>
              </w:tabs>
              <w:spacing w:line="240" w:lineRule="atLeast"/>
              <w:jc w:val="left"/>
              <w:rPr>
                <w:rFonts w:ascii="仿宋_GB2312" w:hAnsi="仿宋_GB2312" w:eastAsia="仿宋_GB2312" w:cs="仿宋_GB2312"/>
                <w:bCs/>
                <w:sz w:val="24"/>
              </w:rPr>
            </w:pPr>
            <w:r>
              <w:rPr>
                <w:rFonts w:hint="eastAsia" w:ascii="仿宋_GB2312" w:hAnsi="仿宋_GB2312" w:eastAsia="仿宋_GB2312" w:cs="仿宋_GB2312"/>
                <w:bCs/>
                <w:sz w:val="24"/>
              </w:rPr>
              <w:t>1.方案框架完整性：包含审计范围、流程、方法、时间节点、风险点识别等核心模块</w:t>
            </w:r>
            <w:r>
              <w:rPr>
                <w:rFonts w:hint="eastAsia" w:ascii="仿宋_GB2312" w:hAnsi="仿宋_GB2312" w:eastAsia="仿宋_GB2312" w:cs="仿宋_GB2312"/>
                <w:bCs/>
                <w:sz w:val="24"/>
                <w:lang w:eastAsia="zh-CN"/>
              </w:rPr>
              <w:t>且合规合理</w:t>
            </w:r>
            <w:r>
              <w:rPr>
                <w:rFonts w:hint="eastAsia" w:ascii="仿宋_GB2312" w:hAnsi="仿宋_GB2312" w:eastAsia="仿宋_GB2312" w:cs="仿宋_GB2312"/>
                <w:bCs/>
                <w:sz w:val="24"/>
              </w:rPr>
              <w:t>得10分，每缺失1个核心模块</w:t>
            </w:r>
            <w:r>
              <w:rPr>
                <w:rFonts w:hint="eastAsia" w:ascii="仿宋_GB2312" w:hAnsi="仿宋_GB2312" w:eastAsia="仿宋_GB2312" w:cs="仿宋_GB2312"/>
                <w:bCs/>
                <w:sz w:val="24"/>
                <w:lang w:eastAsia="zh-CN"/>
              </w:rPr>
              <w:t>或缺乏针对性和操作性的</w:t>
            </w:r>
            <w:r>
              <w:rPr>
                <w:rFonts w:hint="eastAsia" w:ascii="仿宋_GB2312" w:hAnsi="仿宋_GB2312" w:eastAsia="仿宋_GB2312" w:cs="仿宋_GB2312"/>
                <w:bCs/>
                <w:sz w:val="24"/>
              </w:rPr>
              <w:t>扣2分。</w:t>
            </w:r>
          </w:p>
          <w:p w14:paraId="0BC084C3">
            <w:pPr>
              <w:tabs>
                <w:tab w:val="left" w:pos="210"/>
              </w:tabs>
              <w:spacing w:line="240" w:lineRule="atLeast"/>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2.供应商提供的审计服务方案中，应覆盖以下审计环节：①预算管理机制健全性、②预算岗位人员设置合规性、③预算编制流程合规性、④预算执行合规性、⑤单位绩效管理合规性、⑥资产管理合规性、⑦预算调整流程合规性、⑧决算管理合规性、⑨“三公”及其他经费支出合规性、⑩采购及合同执行合规性。每遗漏一个环节（指未提及或未作实质性说明），扣1分，扣完为止。 </w:t>
            </w:r>
          </w:p>
          <w:p w14:paraId="39C045DA">
            <w:pPr>
              <w:tabs>
                <w:tab w:val="left" w:pos="210"/>
              </w:tabs>
              <w:spacing w:line="240" w:lineRule="atLeast"/>
              <w:jc w:val="left"/>
              <w:rPr>
                <w:rFonts w:ascii="仿宋_GB2312" w:hAnsi="仿宋_GB2312" w:eastAsia="仿宋_GB2312" w:cs="仿宋_GB2312"/>
                <w:bCs/>
                <w:sz w:val="24"/>
              </w:rPr>
            </w:pPr>
            <w:r>
              <w:rPr>
                <w:rFonts w:hint="eastAsia" w:ascii="仿宋_GB2312" w:hAnsi="仿宋_GB2312" w:eastAsia="仿宋_GB2312" w:cs="仿宋_GB2312"/>
                <w:bCs/>
                <w:sz w:val="24"/>
              </w:rPr>
              <w:t>实质性说明是指对具体审计程序、方法、标准等内容有明确阐述，仅列举环节名称不作展开的不予计分。存在凭空捏造、逻辑漏洞或与项目实际不符等情形的，视为内容缺陷，不计入该环节得分。。</w:t>
            </w:r>
          </w:p>
          <w:p w14:paraId="745D53B2">
            <w:pPr>
              <w:tabs>
                <w:tab w:val="left" w:pos="210"/>
              </w:tabs>
              <w:spacing w:line="240" w:lineRule="atLeast"/>
              <w:jc w:val="left"/>
              <w:rPr>
                <w:rFonts w:ascii="仿宋_GB2312" w:hAnsi="仿宋_GB2312" w:eastAsia="仿宋_GB2312" w:cs="仿宋_GB2312"/>
                <w:bCs/>
                <w:sz w:val="24"/>
              </w:rPr>
            </w:pPr>
            <w:r>
              <w:rPr>
                <w:rFonts w:hint="eastAsia" w:ascii="仿宋_GB2312" w:hAnsi="仿宋_GB2312" w:eastAsia="仿宋_GB2312" w:cs="仿宋_GB2312"/>
                <w:bCs/>
                <w:sz w:val="24"/>
              </w:rPr>
              <w:t>3. 供应商应针对审计过程中可能出现的突发问题，提供应急预案及措施，包括但不限于：①资料缺失应对措施、②数据异常应对措施、③被审计单位配合度不足应对措施、④时间节点延误应对措施。上述4项子项中，每提供一项完整、可行的具体措施，得2.5分，本项最高得10分。存在下列情形之一的，该项子项不得分：措施与项目实际情况不适用、凭空捏造、逻辑漏洞、前后不一、措施笼统无操作性。</w:t>
            </w:r>
          </w:p>
        </w:tc>
      </w:tr>
      <w:tr w14:paraId="4B59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69" w:type="dxa"/>
            <w:vAlign w:val="center"/>
          </w:tcPr>
          <w:p w14:paraId="62F43EB0">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4</w:t>
            </w:r>
          </w:p>
        </w:tc>
        <w:tc>
          <w:tcPr>
            <w:tcW w:w="1080" w:type="dxa"/>
            <w:vAlign w:val="center"/>
          </w:tcPr>
          <w:p w14:paraId="3BD0E4E7">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业绩</w:t>
            </w:r>
          </w:p>
        </w:tc>
        <w:tc>
          <w:tcPr>
            <w:tcW w:w="882" w:type="dxa"/>
            <w:vAlign w:val="center"/>
          </w:tcPr>
          <w:p w14:paraId="628BDD00">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20</w:t>
            </w:r>
          </w:p>
        </w:tc>
        <w:tc>
          <w:tcPr>
            <w:tcW w:w="1977" w:type="dxa"/>
            <w:vAlign w:val="center"/>
          </w:tcPr>
          <w:p w14:paraId="3C8FC389">
            <w:pPr>
              <w:tabs>
                <w:tab w:val="left" w:pos="210"/>
              </w:tabs>
              <w:spacing w:line="5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提供近3年内与行政机关、事业单位、签订的预算、收支类审计合同（20分）。</w:t>
            </w:r>
          </w:p>
        </w:tc>
        <w:tc>
          <w:tcPr>
            <w:tcW w:w="3671" w:type="dxa"/>
            <w:vAlign w:val="center"/>
          </w:tcPr>
          <w:p w14:paraId="0F278E47">
            <w:pPr>
              <w:tabs>
                <w:tab w:val="left" w:pos="210"/>
              </w:tabs>
              <w:spacing w:line="5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每提供1份得4分；最多提供5个有效业绩（需提供合同关键页复印件，含服务期限、双方签章页；采购人不得重复，合同期须满1年及以上）。</w:t>
            </w:r>
          </w:p>
        </w:tc>
      </w:tr>
      <w:tr w14:paraId="3913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69" w:type="dxa"/>
            <w:vAlign w:val="center"/>
          </w:tcPr>
          <w:p w14:paraId="6405D3A7">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5</w:t>
            </w:r>
          </w:p>
        </w:tc>
        <w:tc>
          <w:tcPr>
            <w:tcW w:w="1080" w:type="dxa"/>
            <w:vAlign w:val="center"/>
          </w:tcPr>
          <w:p w14:paraId="51D25268">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总分</w:t>
            </w:r>
          </w:p>
        </w:tc>
        <w:tc>
          <w:tcPr>
            <w:tcW w:w="882" w:type="dxa"/>
            <w:vAlign w:val="center"/>
          </w:tcPr>
          <w:p w14:paraId="4A027BA3">
            <w:pPr>
              <w:tabs>
                <w:tab w:val="left" w:pos="210"/>
              </w:tabs>
              <w:spacing w:line="5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100</w:t>
            </w:r>
          </w:p>
        </w:tc>
        <w:tc>
          <w:tcPr>
            <w:tcW w:w="1977" w:type="dxa"/>
            <w:vAlign w:val="center"/>
          </w:tcPr>
          <w:p w14:paraId="51181818">
            <w:pPr>
              <w:tabs>
                <w:tab w:val="left" w:pos="210"/>
              </w:tabs>
              <w:spacing w:line="500" w:lineRule="exact"/>
              <w:jc w:val="center"/>
              <w:rPr>
                <w:rFonts w:ascii="仿宋_GB2312" w:hAnsi="仿宋_GB2312" w:eastAsia="仿宋_GB2312" w:cs="仿宋_GB2312"/>
                <w:bCs/>
                <w:sz w:val="24"/>
              </w:rPr>
            </w:pPr>
          </w:p>
        </w:tc>
        <w:tc>
          <w:tcPr>
            <w:tcW w:w="3671" w:type="dxa"/>
            <w:vAlign w:val="center"/>
          </w:tcPr>
          <w:p w14:paraId="1509CC19">
            <w:pPr>
              <w:tabs>
                <w:tab w:val="left" w:pos="210"/>
              </w:tabs>
              <w:spacing w:line="500" w:lineRule="exact"/>
              <w:jc w:val="center"/>
              <w:rPr>
                <w:rFonts w:ascii="仿宋_GB2312" w:hAnsi="仿宋_GB2312" w:eastAsia="仿宋_GB2312" w:cs="仿宋_GB2312"/>
                <w:bCs/>
                <w:sz w:val="24"/>
              </w:rPr>
            </w:pPr>
          </w:p>
        </w:tc>
      </w:tr>
    </w:tbl>
    <w:p w14:paraId="751605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42CC8"/>
    <w:rsid w:val="38D42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2026-05-21T06:45:00Z</dcterms:created>
  <dc:creator>左手藏着扑克牌</dc:creator>
  <cp:lastModifiedBy>左手藏着扑克牌</cp:lastModifiedBy>
  <dcterms:modified xsi:type="dcterms:W3CDTF">2026-05-21T06:47:33Z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BFAC16D60B1049A0808149C2548343B5_11</vt:lpwstr>
  </property>
  <property fmtid="{D5CDD505-2E9C-101B-9397-08002B2CF9AE}" pid="4" name="KSOTemplateDocerSaveRecord">
    <vt:lpwstr>eyJoZGlkIjoiYmRjNjVmM2Q3ZmJlYmM5MDY3MjU1Y2NkYWZmZDYyMGEiLCJ1c2VySWQiOiI2NzgyNDc3NzYifQ==</vt:lpwstr>
  </property>
</Properties>
</file>